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A7" w:rsidRPr="003E0B29" w:rsidRDefault="00942CA7" w:rsidP="003E0B29">
      <w:pPr>
        <w:spacing w:after="0" w:line="240" w:lineRule="auto"/>
        <w:rPr>
          <w:rFonts w:ascii="Tahoma" w:hAnsi="Tahoma" w:cs="Tahoma"/>
          <w:color w:val="666666"/>
          <w:sz w:val="16"/>
          <w:szCs w:val="16"/>
        </w:rPr>
      </w:pPr>
      <w:r w:rsidRPr="003E0B29">
        <w:rPr>
          <w:rFonts w:ascii="Tahoma" w:hAnsi="Tahoma" w:cs="Tahoma"/>
          <w:color w:val="0D43B1"/>
          <w:spacing w:val="15"/>
          <w:sz w:val="32"/>
          <w:szCs w:val="32"/>
        </w:rPr>
        <w:t>Immunizations</w:t>
      </w:r>
      <w:r w:rsidRPr="003E0B29">
        <w:rPr>
          <w:rFonts w:ascii="Tahoma" w:hAnsi="Tahoma" w:cs="Tahoma"/>
          <w:color w:val="0D43B1"/>
          <w:spacing w:val="15"/>
          <w:sz w:val="24"/>
          <w:szCs w:val="24"/>
        </w:rPr>
        <w:t xml:space="preserve">  </w:t>
      </w:r>
      <w:r w:rsidRPr="003E0B29">
        <w:rPr>
          <w:rFonts w:ascii="Tahoma" w:hAnsi="Tahoma" w:cs="Tahoma"/>
          <w:color w:val="666666"/>
          <w:sz w:val="18"/>
          <w:szCs w:val="18"/>
        </w:rPr>
        <w:t xml:space="preserve">(Last Modified </w:t>
      </w:r>
      <w:r w:rsidRPr="003E0B29">
        <w:rPr>
          <w:rFonts w:ascii="Tahoma" w:hAnsi="Tahoma" w:cs="Tahoma"/>
          <w:b/>
          <w:bCs/>
          <w:color w:val="666666"/>
          <w:sz w:val="18"/>
          <w:szCs w:val="18"/>
        </w:rPr>
        <w:t>8/13/2013)</w:t>
      </w:r>
    </w:p>
    <w:p w:rsidR="00942CA7" w:rsidRPr="003E0B29" w:rsidRDefault="00942CA7" w:rsidP="003E0B29">
      <w:pPr>
        <w:shd w:val="clear" w:color="auto" w:fill="FFFFFF"/>
        <w:tabs>
          <w:tab w:val="left" w:pos="2011"/>
        </w:tabs>
        <w:spacing w:after="0" w:line="240" w:lineRule="auto"/>
        <w:rPr>
          <w:rFonts w:ascii="Tahoma" w:hAnsi="Tahoma" w:cs="Tahoma"/>
          <w:color w:val="0D43B1"/>
          <w:spacing w:val="15"/>
          <w:sz w:val="24"/>
          <w:szCs w:val="24"/>
        </w:rPr>
      </w:pPr>
      <w:r w:rsidRPr="003E0B29">
        <w:rPr>
          <w:rFonts w:ascii="Tahoma" w:hAnsi="Tahoma" w:cs="Tahoma"/>
          <w:vanish/>
          <w:color w:val="0D43B1"/>
          <w:spacing w:val="15"/>
          <w:sz w:val="38"/>
          <w:szCs w:val="38"/>
        </w:rPr>
        <w:t>TitleIcon</w:t>
      </w:r>
      <w:r w:rsidRPr="003E0B29">
        <w:rPr>
          <w:rFonts w:ascii="Verdana" w:hAnsi="Verdana" w:cs="Tahoma"/>
          <w:vanish/>
          <w:color w:val="000000"/>
          <w:sz w:val="19"/>
          <w:szCs w:val="19"/>
        </w:rPr>
        <w:t>Page Image</w:t>
      </w:r>
      <w:r>
        <w:rPr>
          <w:rFonts w:ascii="Verdana" w:hAnsi="Verdana" w:cs="Tahoma"/>
          <w:color w:val="000000"/>
          <w:sz w:val="19"/>
          <w:szCs w:val="19"/>
        </w:rPr>
        <w:tab/>
      </w:r>
      <w:bookmarkStart w:id="0" w:name="_GoBack"/>
      <w:bookmarkEnd w:id="0"/>
      <w:r w:rsidRPr="003E0B29">
        <w:rPr>
          <w:rFonts w:ascii="Verdana" w:hAnsi="Verdana" w:cs="Tahoma"/>
          <w:vanish/>
          <w:color w:val="000000"/>
          <w:sz w:val="19"/>
          <w:szCs w:val="19"/>
        </w:rPr>
        <w:t>Image Caption</w:t>
      </w:r>
    </w:p>
    <w:p w:rsidR="00942CA7" w:rsidRPr="003E0B29" w:rsidRDefault="00942CA7" w:rsidP="003E0B29">
      <w:pPr>
        <w:spacing w:after="0" w:line="240" w:lineRule="auto"/>
        <w:rPr>
          <w:rFonts w:ascii="Verdana" w:hAnsi="Verdana" w:cs="Tahoma"/>
          <w:vanish/>
          <w:color w:val="000000"/>
          <w:sz w:val="19"/>
          <w:szCs w:val="19"/>
        </w:rPr>
      </w:pPr>
      <w:r w:rsidRPr="003E0B29">
        <w:rPr>
          <w:rFonts w:ascii="Verdana" w:hAnsi="Verdana" w:cs="Tahoma"/>
          <w:vanish/>
          <w:color w:val="000000"/>
          <w:sz w:val="19"/>
          <w:szCs w:val="19"/>
        </w:rPr>
        <w:t>Page Content</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color w:val="000000"/>
          <w:sz w:val="19"/>
          <w:szCs w:val="19"/>
        </w:rPr>
        <w:t xml:space="preserve">All </w:t>
      </w:r>
      <w:smartTag w:uri="urn:schemas-microsoft-com:office:smarttags" w:element="State">
        <w:r w:rsidRPr="003E0B29">
          <w:rPr>
            <w:rFonts w:ascii="Verdana" w:hAnsi="Verdana" w:cs="Tahoma"/>
            <w:color w:val="000000"/>
            <w:sz w:val="19"/>
            <w:szCs w:val="19"/>
          </w:rPr>
          <w:t>Idaho</w:t>
        </w:r>
      </w:smartTag>
      <w:r w:rsidRPr="003E0B29">
        <w:rPr>
          <w:rFonts w:ascii="Verdana" w:hAnsi="Verdana" w:cs="Tahoma"/>
          <w:color w:val="000000"/>
          <w:sz w:val="19"/>
          <w:szCs w:val="19"/>
        </w:rPr>
        <w:t xml:space="preserve"> schools are required to implement </w:t>
      </w:r>
      <w:hyperlink r:id="rId4" w:tgtFrame="_blank" w:history="1">
        <w:r w:rsidRPr="003E0B29">
          <w:rPr>
            <w:rFonts w:ascii="Verdana" w:hAnsi="Verdana" w:cs="Tahoma"/>
            <w:color w:val="0000FF"/>
            <w:sz w:val="19"/>
            <w:szCs w:val="19"/>
            <w:u w:val="single"/>
          </w:rPr>
          <w:t>Idaho Code, 39-4801</w:t>
        </w:r>
      </w:hyperlink>
      <w:r w:rsidRPr="003E0B29">
        <w:rPr>
          <w:rFonts w:ascii="Verdana" w:hAnsi="Verdana" w:cs="Tahoma"/>
          <w:color w:val="000000"/>
          <w:sz w:val="19"/>
          <w:szCs w:val="19"/>
        </w:rPr>
        <w:t xml:space="preserve"> and Title 2, Chapter 15 "</w:t>
      </w:r>
      <w:r w:rsidRPr="003E0B29">
        <w:rPr>
          <w:rFonts w:ascii="Verdana" w:hAnsi="Verdana" w:cs="Tahoma"/>
          <w:b/>
          <w:bCs/>
          <w:color w:val="000000"/>
          <w:sz w:val="19"/>
          <w:szCs w:val="19"/>
        </w:rPr>
        <w:t>Immunization Requirements for Idaho School Children</w:t>
      </w:r>
      <w:r w:rsidRPr="003E0B29">
        <w:rPr>
          <w:rFonts w:ascii="Verdana" w:hAnsi="Verdana" w:cs="Tahoma"/>
          <w:color w:val="000000"/>
          <w:sz w:val="19"/>
          <w:szCs w:val="19"/>
        </w:rPr>
        <w:t>."  This code requires all students enrolled and enrolling in Idaho Schools to have verifiable documentation of immunizations prior to school entrance.  This documentation must show date and type of each dose administered.  This must be stamped by a physician or health department.  Parental recall of dates and types of immunizations received are not acceptable. </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color w:val="000000"/>
          <w:sz w:val="19"/>
          <w:szCs w:val="19"/>
        </w:rPr>
        <w:t>The minimum requirements for students born</w:t>
      </w:r>
      <w:r w:rsidRPr="003E0B29">
        <w:rPr>
          <w:rFonts w:ascii="Verdana" w:hAnsi="Verdana" w:cs="Tahoma"/>
          <w:b/>
          <w:bCs/>
          <w:color w:val="000000"/>
          <w:sz w:val="19"/>
          <w:szCs w:val="19"/>
        </w:rPr>
        <w:t xml:space="preserve"> </w:t>
      </w:r>
      <w:r w:rsidRPr="003E0B29">
        <w:rPr>
          <w:rFonts w:ascii="Verdana" w:hAnsi="Verdana" w:cs="Tahoma"/>
          <w:b/>
          <w:bCs/>
          <w:i/>
          <w:iCs/>
          <w:color w:val="000000"/>
          <w:sz w:val="19"/>
          <w:szCs w:val="19"/>
        </w:rPr>
        <w:t>after Sept. 1, 2005:</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color w:val="000000"/>
          <w:sz w:val="19"/>
          <w:szCs w:val="19"/>
        </w:rPr>
        <w:t xml:space="preserve">5 </w:t>
      </w:r>
      <w:hyperlink r:id="rId5" w:tgtFrame="_blank" w:tooltip="Opens in a new window" w:history="1">
        <w:r w:rsidRPr="003E0B29">
          <w:rPr>
            <w:rFonts w:ascii="Verdana" w:hAnsi="Verdana" w:cs="Tahoma"/>
            <w:color w:val="0000FF"/>
            <w:sz w:val="19"/>
            <w:szCs w:val="19"/>
            <w:u w:val="single"/>
          </w:rPr>
          <w:t>DTaP</w:t>
        </w:r>
      </w:hyperlink>
      <w:r w:rsidRPr="003E0B29">
        <w:rPr>
          <w:rFonts w:ascii="Verdana" w:hAnsi="Verdana" w:cs="Tahoma"/>
          <w:color w:val="000000"/>
          <w:sz w:val="19"/>
          <w:szCs w:val="19"/>
        </w:rPr>
        <w:t> (Diphtheria, Tetanus, Pertussis)</w:t>
      </w:r>
      <w:r w:rsidRPr="003E0B29">
        <w:rPr>
          <w:rFonts w:ascii="Verdana" w:hAnsi="Verdana" w:cs="Tahoma"/>
          <w:color w:val="000000"/>
          <w:sz w:val="19"/>
          <w:szCs w:val="19"/>
        </w:rPr>
        <w:br/>
        <w:t>4 </w:t>
      </w:r>
      <w:hyperlink r:id="rId6" w:tgtFrame="_blank" w:history="1">
        <w:r w:rsidRPr="003E0B29">
          <w:rPr>
            <w:rFonts w:ascii="Verdana" w:hAnsi="Verdana" w:cs="Tahoma"/>
            <w:color w:val="0000FF"/>
            <w:sz w:val="19"/>
            <w:szCs w:val="19"/>
            <w:u w:val="single"/>
          </w:rPr>
          <w:t>Polio</w:t>
        </w:r>
      </w:hyperlink>
      <w:r w:rsidRPr="003E0B29">
        <w:rPr>
          <w:rFonts w:ascii="Verdana" w:hAnsi="Verdana" w:cs="Tahoma"/>
          <w:color w:val="000000"/>
          <w:sz w:val="19"/>
          <w:szCs w:val="19"/>
        </w:rPr>
        <w:br/>
        <w:t xml:space="preserve">2 </w:t>
      </w:r>
      <w:hyperlink r:id="rId7" w:tgtFrame="_blank" w:history="1">
        <w:r w:rsidRPr="003E0B29">
          <w:rPr>
            <w:rFonts w:ascii="Verdana" w:hAnsi="Verdana" w:cs="Tahoma"/>
            <w:color w:val="0000FF"/>
            <w:sz w:val="19"/>
            <w:szCs w:val="19"/>
            <w:u w:val="single"/>
          </w:rPr>
          <w:t>MMR</w:t>
        </w:r>
      </w:hyperlink>
      <w:r w:rsidRPr="003E0B29">
        <w:rPr>
          <w:rFonts w:ascii="Verdana" w:hAnsi="Verdana" w:cs="Tahoma"/>
          <w:color w:val="000000"/>
          <w:sz w:val="19"/>
          <w:szCs w:val="19"/>
        </w:rPr>
        <w:t> (Measles, Mumps, Rubella)</w:t>
      </w:r>
      <w:r w:rsidRPr="003E0B29">
        <w:rPr>
          <w:rFonts w:ascii="Verdana" w:hAnsi="Verdana" w:cs="Tahoma"/>
          <w:color w:val="000000"/>
          <w:sz w:val="19"/>
          <w:szCs w:val="19"/>
        </w:rPr>
        <w:br/>
        <w:t xml:space="preserve">3 </w:t>
      </w:r>
      <w:hyperlink r:id="rId8" w:tgtFrame="_blank" w:history="1">
        <w:r w:rsidRPr="003E0B29">
          <w:rPr>
            <w:rFonts w:ascii="Verdana" w:hAnsi="Verdana" w:cs="Tahoma"/>
            <w:color w:val="0000FF"/>
            <w:sz w:val="19"/>
            <w:szCs w:val="19"/>
            <w:u w:val="single"/>
          </w:rPr>
          <w:t>Hepatitis B</w:t>
        </w:r>
      </w:hyperlink>
      <w:r w:rsidRPr="003E0B29">
        <w:rPr>
          <w:rFonts w:ascii="Verdana" w:hAnsi="Verdana" w:cs="Tahoma"/>
          <w:color w:val="000000"/>
          <w:sz w:val="19"/>
          <w:szCs w:val="19"/>
        </w:rPr>
        <w:br/>
        <w:t xml:space="preserve">2 </w:t>
      </w:r>
      <w:hyperlink r:id="rId9" w:tgtFrame="_blank" w:history="1">
        <w:r w:rsidRPr="003E0B29">
          <w:rPr>
            <w:rFonts w:ascii="Verdana" w:hAnsi="Verdana" w:cs="Tahoma"/>
            <w:color w:val="0000FF"/>
            <w:sz w:val="19"/>
            <w:szCs w:val="19"/>
            <w:u w:val="single"/>
          </w:rPr>
          <w:t>Varicella</w:t>
        </w:r>
      </w:hyperlink>
      <w:r w:rsidRPr="003E0B29">
        <w:rPr>
          <w:rFonts w:ascii="Verdana" w:hAnsi="Verdana" w:cs="Tahoma"/>
          <w:color w:val="000000"/>
          <w:sz w:val="19"/>
          <w:szCs w:val="19"/>
        </w:rPr>
        <w:t> (Chickenpox)</w:t>
      </w:r>
      <w:r w:rsidRPr="003E0B29">
        <w:rPr>
          <w:rFonts w:ascii="Verdana" w:hAnsi="Verdana" w:cs="Tahoma"/>
          <w:color w:val="000000"/>
          <w:sz w:val="19"/>
          <w:szCs w:val="19"/>
        </w:rPr>
        <w:br/>
        <w:t xml:space="preserve">2 </w:t>
      </w:r>
      <w:hyperlink r:id="rId10" w:tgtFrame="_blank" w:history="1">
        <w:r w:rsidRPr="003E0B29">
          <w:rPr>
            <w:rFonts w:ascii="Verdana" w:hAnsi="Verdana" w:cs="Tahoma"/>
            <w:color w:val="0000FF"/>
            <w:sz w:val="19"/>
            <w:szCs w:val="19"/>
            <w:u w:val="single"/>
          </w:rPr>
          <w:t>Hepatitis A</w:t>
        </w:r>
      </w:hyperlink>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color w:val="000000"/>
          <w:sz w:val="19"/>
          <w:szCs w:val="19"/>
        </w:rPr>
        <w:t>The minimum requirements for students born</w:t>
      </w:r>
      <w:r w:rsidRPr="003E0B29">
        <w:rPr>
          <w:rFonts w:ascii="Verdana" w:hAnsi="Verdana" w:cs="Tahoma"/>
          <w:b/>
          <w:bCs/>
          <w:color w:val="000000"/>
          <w:sz w:val="19"/>
          <w:szCs w:val="19"/>
        </w:rPr>
        <w:t xml:space="preserve"> </w:t>
      </w:r>
      <w:r w:rsidRPr="003E0B29">
        <w:rPr>
          <w:rFonts w:ascii="Verdana" w:hAnsi="Verdana" w:cs="Tahoma"/>
          <w:b/>
          <w:bCs/>
          <w:i/>
          <w:iCs/>
          <w:color w:val="000000"/>
          <w:sz w:val="19"/>
          <w:szCs w:val="19"/>
        </w:rPr>
        <w:t>after Sept. 1, 1999 through Sept. 1, 2005</w:t>
      </w:r>
      <w:r w:rsidRPr="003E0B29">
        <w:rPr>
          <w:rFonts w:ascii="Verdana" w:hAnsi="Verdana" w:cs="Tahoma"/>
          <w:i/>
          <w:iCs/>
          <w:color w:val="000000"/>
          <w:sz w:val="19"/>
          <w:szCs w:val="19"/>
        </w:rPr>
        <w:t>:</w:t>
      </w:r>
      <w:r w:rsidRPr="003E0B29">
        <w:rPr>
          <w:rFonts w:ascii="Verdana" w:hAnsi="Verdana" w:cs="Tahoma"/>
          <w:color w:val="000000"/>
          <w:sz w:val="19"/>
          <w:szCs w:val="19"/>
        </w:rPr>
        <w:t> </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color w:val="000000"/>
          <w:sz w:val="19"/>
          <w:szCs w:val="19"/>
        </w:rPr>
        <w:t>5 </w:t>
      </w:r>
      <w:hyperlink r:id="rId11" w:tgtFrame="_blank" w:tooltip="Opens in a new window" w:history="1">
        <w:r w:rsidRPr="003E0B29">
          <w:rPr>
            <w:rFonts w:ascii="Verdana" w:hAnsi="Verdana" w:cs="Tahoma"/>
            <w:color w:val="0000FF"/>
            <w:sz w:val="19"/>
            <w:szCs w:val="19"/>
            <w:u w:val="single"/>
          </w:rPr>
          <w:t>DTaP </w:t>
        </w:r>
      </w:hyperlink>
      <w:r w:rsidRPr="003E0B29">
        <w:rPr>
          <w:rFonts w:ascii="Verdana" w:hAnsi="Verdana" w:cs="Tahoma"/>
          <w:color w:val="000000"/>
          <w:sz w:val="19"/>
          <w:szCs w:val="19"/>
        </w:rPr>
        <w:t>(Diphtheria, Tetanus, Pertussis)</w:t>
      </w:r>
      <w:r w:rsidRPr="003E0B29">
        <w:rPr>
          <w:rFonts w:ascii="Verdana" w:hAnsi="Verdana" w:cs="Tahoma"/>
          <w:color w:val="000000"/>
          <w:sz w:val="19"/>
          <w:szCs w:val="19"/>
        </w:rPr>
        <w:br/>
        <w:t xml:space="preserve">3 </w:t>
      </w:r>
      <w:hyperlink r:id="rId12" w:tgtFrame="_blank" w:history="1">
        <w:r w:rsidRPr="003E0B29">
          <w:rPr>
            <w:rFonts w:ascii="Verdana" w:hAnsi="Verdana" w:cs="Tahoma"/>
            <w:color w:val="0000FF"/>
            <w:sz w:val="19"/>
            <w:szCs w:val="19"/>
            <w:u w:val="single"/>
          </w:rPr>
          <w:t>Polio</w:t>
        </w:r>
      </w:hyperlink>
      <w:r w:rsidRPr="003E0B29">
        <w:rPr>
          <w:rFonts w:ascii="Verdana" w:hAnsi="Verdana" w:cs="Tahoma"/>
          <w:color w:val="000000"/>
          <w:sz w:val="19"/>
          <w:szCs w:val="19"/>
        </w:rPr>
        <w:br/>
        <w:t xml:space="preserve">2 </w:t>
      </w:r>
      <w:hyperlink r:id="rId13" w:tgtFrame="_blank" w:history="1">
        <w:r w:rsidRPr="003E0B29">
          <w:rPr>
            <w:rFonts w:ascii="Verdana" w:hAnsi="Verdana" w:cs="Tahoma"/>
            <w:color w:val="0000FF"/>
            <w:sz w:val="19"/>
            <w:szCs w:val="19"/>
            <w:u w:val="single"/>
          </w:rPr>
          <w:t>MMR</w:t>
        </w:r>
      </w:hyperlink>
      <w:r w:rsidRPr="003E0B29">
        <w:rPr>
          <w:rFonts w:ascii="Verdana" w:hAnsi="Verdana" w:cs="Tahoma"/>
          <w:color w:val="000000"/>
          <w:sz w:val="19"/>
          <w:szCs w:val="19"/>
        </w:rPr>
        <w:t> (Measles, Mumps, Rubella)</w:t>
      </w:r>
      <w:r w:rsidRPr="003E0B29">
        <w:rPr>
          <w:rFonts w:ascii="Verdana" w:hAnsi="Verdana" w:cs="Tahoma"/>
          <w:color w:val="000000"/>
          <w:sz w:val="19"/>
          <w:szCs w:val="19"/>
        </w:rPr>
        <w:br/>
        <w:t xml:space="preserve">3 </w:t>
      </w:r>
      <w:hyperlink r:id="rId14" w:tgtFrame="_blank" w:history="1">
        <w:r w:rsidRPr="003E0B29">
          <w:rPr>
            <w:rFonts w:ascii="Verdana" w:hAnsi="Verdana" w:cs="Tahoma"/>
            <w:color w:val="0000FF"/>
            <w:sz w:val="19"/>
            <w:szCs w:val="19"/>
            <w:u w:val="single"/>
          </w:rPr>
          <w:t>Hepatitis B</w:t>
        </w:r>
      </w:hyperlink>
      <w:r w:rsidRPr="003E0B29">
        <w:rPr>
          <w:rFonts w:ascii="Verdana" w:hAnsi="Verdana" w:cs="Tahoma"/>
          <w:color w:val="000000"/>
          <w:sz w:val="19"/>
          <w:szCs w:val="19"/>
        </w:rPr>
        <w:t>   </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color w:val="000000"/>
          <w:sz w:val="19"/>
          <w:szCs w:val="19"/>
        </w:rPr>
        <w:t xml:space="preserve">The minimum requirements for students born </w:t>
      </w:r>
      <w:r w:rsidRPr="003E0B29">
        <w:rPr>
          <w:rFonts w:ascii="Verdana" w:hAnsi="Verdana" w:cs="Tahoma"/>
          <w:b/>
          <w:bCs/>
          <w:i/>
          <w:iCs/>
          <w:color w:val="000000"/>
          <w:sz w:val="19"/>
          <w:szCs w:val="19"/>
        </w:rPr>
        <w:t>on or before Sept. 1, 1999</w:t>
      </w:r>
      <w:r w:rsidRPr="003E0B29">
        <w:rPr>
          <w:rFonts w:ascii="Verdana" w:hAnsi="Verdana" w:cs="Tahoma"/>
          <w:i/>
          <w:iCs/>
          <w:color w:val="000000"/>
          <w:sz w:val="19"/>
          <w:szCs w:val="19"/>
        </w:rPr>
        <w:t>:</w:t>
      </w:r>
      <w:r w:rsidRPr="003E0B29">
        <w:rPr>
          <w:rFonts w:ascii="Verdana" w:hAnsi="Verdana" w:cs="Tahoma"/>
          <w:color w:val="000000"/>
          <w:sz w:val="19"/>
          <w:szCs w:val="19"/>
        </w:rPr>
        <w:t> </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color w:val="000000"/>
          <w:sz w:val="19"/>
          <w:szCs w:val="19"/>
        </w:rPr>
        <w:t>4 </w:t>
      </w:r>
      <w:hyperlink r:id="rId15" w:tgtFrame="_blank" w:tooltip="" w:history="1">
        <w:r w:rsidRPr="003E0B29">
          <w:rPr>
            <w:rFonts w:ascii="Verdana" w:hAnsi="Verdana" w:cs="Tahoma"/>
            <w:color w:val="0000FF"/>
            <w:sz w:val="19"/>
            <w:szCs w:val="19"/>
            <w:u w:val="single"/>
          </w:rPr>
          <w:t>DTaP</w:t>
        </w:r>
      </w:hyperlink>
      <w:r w:rsidRPr="003E0B29">
        <w:rPr>
          <w:rFonts w:ascii="Verdana" w:hAnsi="Verdana" w:cs="Tahoma"/>
          <w:color w:val="000000"/>
          <w:sz w:val="19"/>
          <w:szCs w:val="19"/>
        </w:rPr>
        <w:t> (Diphtheria, Tetanus, Pertussis)</w:t>
      </w:r>
      <w:r w:rsidRPr="003E0B29">
        <w:rPr>
          <w:rFonts w:ascii="Verdana" w:hAnsi="Verdana" w:cs="Tahoma"/>
          <w:color w:val="000000"/>
          <w:sz w:val="19"/>
          <w:szCs w:val="19"/>
        </w:rPr>
        <w:br/>
        <w:t xml:space="preserve">3 </w:t>
      </w:r>
      <w:hyperlink r:id="rId16" w:tgtFrame="_blank" w:history="1">
        <w:r w:rsidRPr="003E0B29">
          <w:rPr>
            <w:rFonts w:ascii="Verdana" w:hAnsi="Verdana" w:cs="Tahoma"/>
            <w:color w:val="0000FF"/>
            <w:sz w:val="19"/>
            <w:szCs w:val="19"/>
            <w:u w:val="single"/>
          </w:rPr>
          <w:t>Polio</w:t>
        </w:r>
      </w:hyperlink>
      <w:r w:rsidRPr="003E0B29">
        <w:rPr>
          <w:rFonts w:ascii="Verdana" w:hAnsi="Verdana" w:cs="Tahoma"/>
          <w:color w:val="000000"/>
          <w:sz w:val="19"/>
          <w:szCs w:val="19"/>
        </w:rPr>
        <w:br/>
        <w:t xml:space="preserve">1 </w:t>
      </w:r>
      <w:hyperlink r:id="rId17" w:tgtFrame="_blank" w:history="1">
        <w:r w:rsidRPr="003E0B29">
          <w:rPr>
            <w:rFonts w:ascii="Verdana" w:hAnsi="Verdana" w:cs="Tahoma"/>
            <w:color w:val="0000FF"/>
            <w:sz w:val="19"/>
            <w:szCs w:val="19"/>
            <w:u w:val="single"/>
          </w:rPr>
          <w:t>MMR</w:t>
        </w:r>
      </w:hyperlink>
      <w:r w:rsidRPr="003E0B29">
        <w:rPr>
          <w:rFonts w:ascii="Verdana" w:hAnsi="Verdana" w:cs="Tahoma"/>
          <w:color w:val="000000"/>
          <w:sz w:val="19"/>
          <w:szCs w:val="19"/>
        </w:rPr>
        <w:t> (Measles, Mumps, Rubella)</w:t>
      </w:r>
      <w:r w:rsidRPr="003E0B29">
        <w:rPr>
          <w:rFonts w:ascii="Verdana" w:hAnsi="Verdana" w:cs="Tahoma"/>
          <w:color w:val="000000"/>
          <w:sz w:val="19"/>
          <w:szCs w:val="19"/>
        </w:rPr>
        <w:br/>
        <w:t xml:space="preserve">3 </w:t>
      </w:r>
      <w:hyperlink r:id="rId18" w:tgtFrame="_blank" w:history="1">
        <w:r w:rsidRPr="003E0B29">
          <w:rPr>
            <w:rFonts w:ascii="Verdana" w:hAnsi="Verdana" w:cs="Tahoma"/>
            <w:color w:val="0000FF"/>
            <w:sz w:val="19"/>
            <w:szCs w:val="19"/>
            <w:u w:val="single"/>
          </w:rPr>
          <w:t>Hepatitis B</w:t>
        </w:r>
      </w:hyperlink>
      <w:r w:rsidRPr="003E0B29">
        <w:rPr>
          <w:rFonts w:ascii="Verdana" w:hAnsi="Verdana" w:cs="Tahoma"/>
          <w:color w:val="000000"/>
          <w:sz w:val="19"/>
          <w:szCs w:val="19"/>
        </w:rPr>
        <w:t> </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b/>
          <w:bCs/>
          <w:color w:val="000000"/>
          <w:sz w:val="19"/>
          <w:szCs w:val="19"/>
        </w:rPr>
        <w:t>For the 2013-2014 school year, 7th, 8th, and 9th grade immunization requirements (in addition to above immunizations):</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color w:val="000000"/>
          <w:sz w:val="19"/>
          <w:szCs w:val="19"/>
        </w:rPr>
        <w:t xml:space="preserve">1 </w:t>
      </w:r>
      <w:hyperlink r:id="rId19" w:tgtFrame="_blank" w:history="1">
        <w:r w:rsidRPr="003E0B29">
          <w:rPr>
            <w:rFonts w:ascii="Verdana" w:hAnsi="Verdana" w:cs="Tahoma"/>
            <w:color w:val="0000FF"/>
            <w:sz w:val="19"/>
            <w:szCs w:val="19"/>
            <w:u w:val="single"/>
          </w:rPr>
          <w:t>Tdap</w:t>
        </w:r>
      </w:hyperlink>
      <w:r w:rsidRPr="003E0B29">
        <w:rPr>
          <w:rFonts w:ascii="Verdana" w:hAnsi="Verdana" w:cs="Tahoma"/>
          <w:color w:val="000000"/>
          <w:sz w:val="19"/>
          <w:szCs w:val="19"/>
        </w:rPr>
        <w:t> (Tetanus, Diphtheria, Pertussis)</w:t>
      </w:r>
      <w:r w:rsidRPr="003E0B29">
        <w:rPr>
          <w:rFonts w:ascii="Verdana" w:hAnsi="Verdana" w:cs="Tahoma"/>
          <w:color w:val="000000"/>
          <w:sz w:val="19"/>
          <w:szCs w:val="19"/>
        </w:rPr>
        <w:br/>
        <w:t xml:space="preserve">1 </w:t>
      </w:r>
      <w:hyperlink r:id="rId20" w:tgtFrame="_blank" w:history="1">
        <w:r w:rsidRPr="003E0B29">
          <w:rPr>
            <w:rFonts w:ascii="Verdana" w:hAnsi="Verdana" w:cs="Tahoma"/>
            <w:color w:val="0000FF"/>
            <w:sz w:val="19"/>
            <w:szCs w:val="19"/>
            <w:u w:val="single"/>
          </w:rPr>
          <w:t>Meningococcal</w:t>
        </w:r>
      </w:hyperlink>
      <w:r w:rsidRPr="003E0B29">
        <w:rPr>
          <w:rFonts w:ascii="Verdana" w:hAnsi="Verdana" w:cs="Tahoma"/>
          <w:color w:val="000000"/>
          <w:sz w:val="19"/>
          <w:szCs w:val="19"/>
        </w:rPr>
        <w:t> </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color w:val="000000"/>
          <w:sz w:val="19"/>
          <w:szCs w:val="19"/>
        </w:rPr>
        <w:t>For students who are in process to complete immunizations, a </w:t>
      </w:r>
      <w:hyperlink r:id="rId21" w:tgtFrame="_blank" w:history="1">
        <w:r w:rsidRPr="003E0B29">
          <w:rPr>
            <w:rFonts w:ascii="Verdana" w:hAnsi="Verdana" w:cs="Tahoma"/>
            <w:color w:val="0000FF"/>
            <w:sz w:val="19"/>
            <w:szCs w:val="19"/>
            <w:u w:val="single"/>
          </w:rPr>
          <w:t>Conditional Admission Form</w:t>
        </w:r>
      </w:hyperlink>
      <w:r w:rsidRPr="003E0B29">
        <w:rPr>
          <w:rFonts w:ascii="Verdana" w:hAnsi="Verdana" w:cs="Tahoma"/>
          <w:color w:val="000000"/>
          <w:sz w:val="19"/>
          <w:szCs w:val="19"/>
        </w:rPr>
        <w:t> must be completed to enroll in school. </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color w:val="000000"/>
          <w:sz w:val="19"/>
          <w:szCs w:val="19"/>
        </w:rPr>
        <w:t xml:space="preserve">For religious, medical or personal exemptions, a form can be provided to you by your school nurse.  </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color w:val="000000"/>
          <w:sz w:val="19"/>
          <w:szCs w:val="19"/>
        </w:rPr>
        <w:t xml:space="preserve">For questions regarding immunizations contact your family doctor, school nurse, or </w:t>
      </w:r>
      <w:hyperlink r:id="rId22" w:tgtFrame="_blank" w:history="1">
        <w:r w:rsidRPr="003E0B29">
          <w:rPr>
            <w:rFonts w:ascii="Verdana" w:hAnsi="Verdana" w:cs="Tahoma"/>
            <w:color w:val="0000FF"/>
            <w:sz w:val="19"/>
            <w:szCs w:val="19"/>
            <w:u w:val="single"/>
          </w:rPr>
          <w:t>Centers for Disease Control and Prevention</w:t>
        </w:r>
      </w:hyperlink>
      <w:r w:rsidRPr="003E0B29">
        <w:rPr>
          <w:rFonts w:ascii="Verdana" w:hAnsi="Verdana" w:cs="Tahoma"/>
          <w:color w:val="000000"/>
          <w:sz w:val="19"/>
          <w:szCs w:val="19"/>
        </w:rPr>
        <w:t> (CDC).</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r w:rsidRPr="003E0B29">
        <w:rPr>
          <w:rFonts w:ascii="Verdana" w:hAnsi="Verdana" w:cs="Tahoma"/>
          <w:b/>
          <w:bCs/>
          <w:color w:val="000000"/>
          <w:sz w:val="19"/>
          <w:szCs w:val="19"/>
        </w:rPr>
        <w:t>Other CDC recommended immunizations</w:t>
      </w:r>
      <w:r w:rsidRPr="003E0B29">
        <w:rPr>
          <w:rFonts w:ascii="Verdana" w:hAnsi="Verdana" w:cs="Tahoma"/>
          <w:color w:val="000000"/>
          <w:sz w:val="19"/>
          <w:szCs w:val="19"/>
        </w:rPr>
        <w:t xml:space="preserve">: </w:t>
      </w:r>
    </w:p>
    <w:p w:rsidR="00942CA7" w:rsidRPr="003E0B29" w:rsidRDefault="00942CA7" w:rsidP="003E0B29">
      <w:pPr>
        <w:spacing w:before="100" w:beforeAutospacing="1" w:after="100" w:afterAutospacing="1" w:line="240" w:lineRule="auto"/>
        <w:rPr>
          <w:rFonts w:ascii="Verdana" w:hAnsi="Verdana" w:cs="Tahoma"/>
          <w:color w:val="000000"/>
          <w:sz w:val="19"/>
          <w:szCs w:val="19"/>
        </w:rPr>
      </w:pPr>
      <w:hyperlink r:id="rId23" w:tgtFrame="_blank" w:history="1">
        <w:r w:rsidRPr="003E0B29">
          <w:rPr>
            <w:rFonts w:ascii="Verdana" w:hAnsi="Verdana" w:cs="Tahoma"/>
            <w:color w:val="0000FF"/>
            <w:sz w:val="19"/>
            <w:szCs w:val="19"/>
            <w:u w:val="single"/>
          </w:rPr>
          <w:t>Influenza</w:t>
        </w:r>
      </w:hyperlink>
      <w:r w:rsidRPr="003E0B29">
        <w:rPr>
          <w:rFonts w:ascii="Verdana" w:hAnsi="Verdana" w:cs="Tahoma"/>
          <w:color w:val="000000"/>
          <w:sz w:val="19"/>
          <w:szCs w:val="19"/>
        </w:rPr>
        <w:t xml:space="preserve">:  All children and adults starting at 6 months of age. </w:t>
      </w:r>
      <w:r w:rsidRPr="003E0B29">
        <w:rPr>
          <w:rFonts w:ascii="Verdana" w:hAnsi="Verdana" w:cs="Tahoma"/>
          <w:color w:val="000000"/>
          <w:sz w:val="19"/>
          <w:szCs w:val="19"/>
        </w:rPr>
        <w:br/>
      </w:r>
      <w:hyperlink r:id="rId24" w:tgtFrame="_blank" w:history="1">
        <w:r w:rsidRPr="003E0B29">
          <w:rPr>
            <w:rFonts w:ascii="Verdana" w:hAnsi="Verdana" w:cs="Tahoma"/>
            <w:color w:val="0000FF"/>
            <w:sz w:val="19"/>
            <w:szCs w:val="19"/>
            <w:u w:val="single"/>
          </w:rPr>
          <w:t>HPV</w:t>
        </w:r>
      </w:hyperlink>
      <w:r w:rsidRPr="003E0B29">
        <w:rPr>
          <w:rFonts w:ascii="Verdana" w:hAnsi="Verdana" w:cs="Tahoma"/>
          <w:color w:val="000000"/>
          <w:sz w:val="19"/>
          <w:szCs w:val="19"/>
        </w:rPr>
        <w:t>: All girls age 11-12 years old through age 26.    </w:t>
      </w:r>
    </w:p>
    <w:tbl>
      <w:tblPr>
        <w:tblW w:w="5000" w:type="pct"/>
        <w:tblCellSpacing w:w="0" w:type="dxa"/>
        <w:tblCellMar>
          <w:left w:w="0" w:type="dxa"/>
          <w:right w:w="0" w:type="dxa"/>
        </w:tblCellMar>
        <w:tblLook w:val="00A0"/>
      </w:tblPr>
      <w:tblGrid>
        <w:gridCol w:w="10404"/>
      </w:tblGrid>
      <w:tr w:rsidR="00942CA7" w:rsidRPr="002D25CE" w:rsidTr="003E0B29">
        <w:trPr>
          <w:tblCellSpacing w:w="0" w:type="dxa"/>
        </w:trPr>
        <w:tc>
          <w:tcPr>
            <w:tcW w:w="5000" w:type="pct"/>
            <w:tcMar>
              <w:top w:w="90" w:type="dxa"/>
              <w:left w:w="90" w:type="dxa"/>
              <w:bottom w:w="270" w:type="dxa"/>
              <w:right w:w="90" w:type="dxa"/>
            </w:tcMar>
          </w:tcPr>
          <w:p w:rsidR="00942CA7" w:rsidRPr="003E0B29" w:rsidRDefault="00942CA7" w:rsidP="003E0B29">
            <w:pPr>
              <w:spacing w:after="0" w:line="240" w:lineRule="auto"/>
              <w:rPr>
                <w:rFonts w:ascii="Verdana" w:hAnsi="Verdana" w:cs="Tahoma"/>
                <w:color w:val="000000"/>
                <w:sz w:val="19"/>
                <w:szCs w:val="19"/>
              </w:rPr>
            </w:pPr>
            <w:r w:rsidRPr="003E0B29">
              <w:rPr>
                <w:rFonts w:ascii="Verdana" w:hAnsi="Verdana" w:cs="Tahoma"/>
                <w:color w:val="000000"/>
                <w:sz w:val="19"/>
                <w:szCs w:val="19"/>
              </w:rPr>
              <w:t xml:space="preserve">  </w:t>
            </w:r>
          </w:p>
        </w:tc>
      </w:tr>
    </w:tbl>
    <w:p w:rsidR="00942CA7" w:rsidRPr="003E0B29" w:rsidRDefault="00942CA7" w:rsidP="003E0B29">
      <w:pPr>
        <w:spacing w:after="0" w:line="240" w:lineRule="auto"/>
        <w:rPr>
          <w:rFonts w:ascii="Tahoma" w:hAnsi="Tahoma" w:cs="Tahoma"/>
          <w:color w:val="666666"/>
          <w:sz w:val="16"/>
          <w:szCs w:val="16"/>
        </w:rPr>
      </w:pPr>
    </w:p>
    <w:sectPr w:rsidR="00942CA7" w:rsidRPr="003E0B29" w:rsidSect="008E2E9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B29"/>
    <w:rsid w:val="002D25CE"/>
    <w:rsid w:val="003E0B29"/>
    <w:rsid w:val="0073276E"/>
    <w:rsid w:val="008E2E91"/>
    <w:rsid w:val="00942CA7"/>
    <w:rsid w:val="0096042A"/>
    <w:rsid w:val="00C07DAF"/>
    <w:rsid w:val="00CE71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3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0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149740">
      <w:marLeft w:val="0"/>
      <w:marRight w:val="0"/>
      <w:marTop w:val="0"/>
      <w:marBottom w:val="0"/>
      <w:divBdr>
        <w:top w:val="none" w:sz="0" w:space="0" w:color="auto"/>
        <w:left w:val="none" w:sz="0" w:space="0" w:color="auto"/>
        <w:bottom w:val="none" w:sz="0" w:space="0" w:color="auto"/>
        <w:right w:val="none" w:sz="0" w:space="0" w:color="auto"/>
      </w:divBdr>
      <w:divsChild>
        <w:div w:id="820149744">
          <w:marLeft w:val="0"/>
          <w:marRight w:val="0"/>
          <w:marTop w:val="0"/>
          <w:marBottom w:val="0"/>
          <w:divBdr>
            <w:top w:val="none" w:sz="0" w:space="0" w:color="auto"/>
            <w:left w:val="none" w:sz="0" w:space="0" w:color="auto"/>
            <w:bottom w:val="none" w:sz="0" w:space="0" w:color="auto"/>
            <w:right w:val="none" w:sz="0" w:space="0" w:color="auto"/>
          </w:divBdr>
          <w:divsChild>
            <w:div w:id="820149752">
              <w:marLeft w:val="0"/>
              <w:marRight w:val="0"/>
              <w:marTop w:val="0"/>
              <w:marBottom w:val="0"/>
              <w:divBdr>
                <w:top w:val="none" w:sz="0" w:space="0" w:color="auto"/>
                <w:left w:val="none" w:sz="0" w:space="0" w:color="auto"/>
                <w:bottom w:val="none" w:sz="0" w:space="0" w:color="auto"/>
                <w:right w:val="none" w:sz="0" w:space="0" w:color="auto"/>
              </w:divBdr>
              <w:divsChild>
                <w:div w:id="820149741">
                  <w:marLeft w:val="0"/>
                  <w:marRight w:val="0"/>
                  <w:marTop w:val="0"/>
                  <w:marBottom w:val="0"/>
                  <w:divBdr>
                    <w:top w:val="none" w:sz="0" w:space="0" w:color="auto"/>
                    <w:left w:val="none" w:sz="0" w:space="0" w:color="auto"/>
                    <w:bottom w:val="none" w:sz="0" w:space="0" w:color="auto"/>
                    <w:right w:val="none" w:sz="0" w:space="0" w:color="auto"/>
                  </w:divBdr>
                  <w:divsChild>
                    <w:div w:id="820149738">
                      <w:marLeft w:val="0"/>
                      <w:marRight w:val="0"/>
                      <w:marTop w:val="0"/>
                      <w:marBottom w:val="0"/>
                      <w:divBdr>
                        <w:top w:val="none" w:sz="0" w:space="0" w:color="auto"/>
                        <w:left w:val="none" w:sz="0" w:space="0" w:color="auto"/>
                        <w:bottom w:val="none" w:sz="0" w:space="0" w:color="auto"/>
                        <w:right w:val="none" w:sz="0" w:space="0" w:color="auto"/>
                      </w:divBdr>
                      <w:divsChild>
                        <w:div w:id="820149739">
                          <w:marLeft w:val="0"/>
                          <w:marRight w:val="0"/>
                          <w:marTop w:val="0"/>
                          <w:marBottom w:val="0"/>
                          <w:divBdr>
                            <w:top w:val="none" w:sz="0" w:space="0" w:color="auto"/>
                            <w:left w:val="none" w:sz="0" w:space="0" w:color="auto"/>
                            <w:bottom w:val="none" w:sz="0" w:space="0" w:color="auto"/>
                            <w:right w:val="none" w:sz="0" w:space="0" w:color="auto"/>
                          </w:divBdr>
                          <w:divsChild>
                            <w:div w:id="820149748">
                              <w:marLeft w:val="0"/>
                              <w:marRight w:val="0"/>
                              <w:marTop w:val="0"/>
                              <w:marBottom w:val="0"/>
                              <w:divBdr>
                                <w:top w:val="none" w:sz="0" w:space="0" w:color="auto"/>
                                <w:left w:val="none" w:sz="0" w:space="0" w:color="auto"/>
                                <w:bottom w:val="none" w:sz="0" w:space="0" w:color="auto"/>
                                <w:right w:val="none" w:sz="0" w:space="0" w:color="auto"/>
                              </w:divBdr>
                              <w:divsChild>
                                <w:div w:id="820149742">
                                  <w:marLeft w:val="0"/>
                                  <w:marRight w:val="0"/>
                                  <w:marTop w:val="0"/>
                                  <w:marBottom w:val="0"/>
                                  <w:divBdr>
                                    <w:top w:val="none" w:sz="0" w:space="0" w:color="auto"/>
                                    <w:left w:val="none" w:sz="0" w:space="0" w:color="auto"/>
                                    <w:bottom w:val="none" w:sz="0" w:space="0" w:color="auto"/>
                                    <w:right w:val="none" w:sz="0" w:space="0" w:color="auto"/>
                                  </w:divBdr>
                                  <w:divsChild>
                                    <w:div w:id="820149753">
                                      <w:marLeft w:val="0"/>
                                      <w:marRight w:val="0"/>
                                      <w:marTop w:val="0"/>
                                      <w:marBottom w:val="0"/>
                                      <w:divBdr>
                                        <w:top w:val="none" w:sz="0" w:space="0" w:color="auto"/>
                                        <w:left w:val="none" w:sz="0" w:space="0" w:color="auto"/>
                                        <w:bottom w:val="none" w:sz="0" w:space="0" w:color="auto"/>
                                        <w:right w:val="none" w:sz="0" w:space="0" w:color="auto"/>
                                      </w:divBdr>
                                    </w:div>
                                  </w:divsChild>
                                </w:div>
                                <w:div w:id="8201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9743">
                          <w:marLeft w:val="0"/>
                          <w:marRight w:val="0"/>
                          <w:marTop w:val="0"/>
                          <w:marBottom w:val="0"/>
                          <w:divBdr>
                            <w:top w:val="none" w:sz="0" w:space="0" w:color="auto"/>
                            <w:left w:val="none" w:sz="0" w:space="0" w:color="auto"/>
                            <w:bottom w:val="none" w:sz="0" w:space="0" w:color="auto"/>
                            <w:right w:val="none" w:sz="0" w:space="0" w:color="auto"/>
                          </w:divBdr>
                          <w:divsChild>
                            <w:div w:id="820149745">
                              <w:marLeft w:val="0"/>
                              <w:marRight w:val="0"/>
                              <w:marTop w:val="0"/>
                              <w:marBottom w:val="0"/>
                              <w:divBdr>
                                <w:top w:val="none" w:sz="0" w:space="0" w:color="auto"/>
                                <w:left w:val="none" w:sz="0" w:space="0" w:color="auto"/>
                                <w:bottom w:val="none" w:sz="0" w:space="0" w:color="auto"/>
                                <w:right w:val="none" w:sz="0" w:space="0" w:color="auto"/>
                              </w:divBdr>
                            </w:div>
                            <w:div w:id="820149747">
                              <w:marLeft w:val="0"/>
                              <w:marRight w:val="0"/>
                              <w:marTop w:val="0"/>
                              <w:marBottom w:val="0"/>
                              <w:divBdr>
                                <w:top w:val="none" w:sz="0" w:space="0" w:color="auto"/>
                                <w:left w:val="none" w:sz="0" w:space="0" w:color="auto"/>
                                <w:bottom w:val="none" w:sz="0" w:space="0" w:color="auto"/>
                                <w:right w:val="none" w:sz="0" w:space="0" w:color="auto"/>
                              </w:divBdr>
                            </w:div>
                            <w:div w:id="820149749">
                              <w:marLeft w:val="0"/>
                              <w:marRight w:val="0"/>
                              <w:marTop w:val="0"/>
                              <w:marBottom w:val="0"/>
                              <w:divBdr>
                                <w:top w:val="none" w:sz="0" w:space="0" w:color="auto"/>
                                <w:left w:val="none" w:sz="0" w:space="0" w:color="auto"/>
                                <w:bottom w:val="none" w:sz="0" w:space="0" w:color="auto"/>
                                <w:right w:val="none" w:sz="0" w:space="0" w:color="auto"/>
                              </w:divBdr>
                            </w:div>
                            <w:div w:id="820149750">
                              <w:marLeft w:val="0"/>
                              <w:marRight w:val="0"/>
                              <w:marTop w:val="0"/>
                              <w:marBottom w:val="0"/>
                              <w:divBdr>
                                <w:top w:val="none" w:sz="0" w:space="0" w:color="auto"/>
                                <w:left w:val="none" w:sz="0" w:space="0" w:color="auto"/>
                                <w:bottom w:val="none" w:sz="0" w:space="0" w:color="auto"/>
                                <w:right w:val="none" w:sz="0" w:space="0" w:color="auto"/>
                              </w:divBdr>
                              <w:divsChild>
                                <w:div w:id="8201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pubs/vis/downloads/vis-hep-b.pdf" TargetMode="External"/><Relationship Id="rId13" Type="http://schemas.openxmlformats.org/officeDocument/2006/relationships/hyperlink" Target="http://www.cdc.gov/vaccines/pubs/vis/downloads/vis-mmr.pdf" TargetMode="External"/><Relationship Id="rId18" Type="http://schemas.openxmlformats.org/officeDocument/2006/relationships/hyperlink" Target="http://www.cdc.gov/vaccines/pubs/vis/downloads/vis-hep-b.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healthandwelfare.idaho.gov/LinkClick.aspx?fileticket=c9a3Ok_w8Kg%3d&amp;tabid=885&amp;mid=6831" TargetMode="External"/><Relationship Id="rId7" Type="http://schemas.openxmlformats.org/officeDocument/2006/relationships/hyperlink" Target="http://www.cdc.gov/vaccines/pubs/vis/downloads/vis-mmr.pdf" TargetMode="External"/><Relationship Id="rId12" Type="http://schemas.openxmlformats.org/officeDocument/2006/relationships/hyperlink" Target="http://www.cdc.gov/vaccines/pubs/vis/downloads/vis-IPV.pdf" TargetMode="External"/><Relationship Id="rId17" Type="http://schemas.openxmlformats.org/officeDocument/2006/relationships/hyperlink" Target="http://www.cdc.gov/vaccines/pubs/vis/downloads/vis-mmr.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dc.gov/vaccines/pubs/vis/downloads/vis-IPV.pdf" TargetMode="External"/><Relationship Id="rId20" Type="http://schemas.openxmlformats.org/officeDocument/2006/relationships/hyperlink" Target="http://www.cdc.gov/vaccines/pubs/vis/downloads/vis-mening.pdf" TargetMode="External"/><Relationship Id="rId1" Type="http://schemas.openxmlformats.org/officeDocument/2006/relationships/styles" Target="styles.xml"/><Relationship Id="rId6" Type="http://schemas.openxmlformats.org/officeDocument/2006/relationships/hyperlink" Target="http://www.cdc.gov/vaccines/pubs/vis/downloads/vis-IPV.pdf" TargetMode="External"/><Relationship Id="rId11" Type="http://schemas.openxmlformats.org/officeDocument/2006/relationships/hyperlink" Target="http://www.cdc.gov/vaccines/pubs/vis/downloads/vis-dtap.pdf" TargetMode="External"/><Relationship Id="rId24" Type="http://schemas.openxmlformats.org/officeDocument/2006/relationships/hyperlink" Target="http://www.cdc.gov/vaccines/pubs/vis/downloads/vis-hpv-gardasil.pdf" TargetMode="External"/><Relationship Id="rId5" Type="http://schemas.openxmlformats.org/officeDocument/2006/relationships/hyperlink" Target="http://www.cdc.gov/vaccines/pubs/vis/downloads/vis-dtap.pdf" TargetMode="External"/><Relationship Id="rId15" Type="http://schemas.openxmlformats.org/officeDocument/2006/relationships/hyperlink" Target="http://www.cdc.gov/vaccines/pubs/vis/downloads/vis-dtap.pdf" TargetMode="External"/><Relationship Id="rId23" Type="http://schemas.openxmlformats.org/officeDocument/2006/relationships/hyperlink" Target="http://www.cdc.gov/vaccines/pubs/vis/downloads/vis-flu.pdf" TargetMode="External"/><Relationship Id="rId10" Type="http://schemas.openxmlformats.org/officeDocument/2006/relationships/hyperlink" Target="http://www.cdc.gov/vaccines/pubs/vis/downloads/vis-hep-a.pdf" TargetMode="External"/><Relationship Id="rId19" Type="http://schemas.openxmlformats.org/officeDocument/2006/relationships/hyperlink" Target="http://www.cdc.gov/vaccines/pubs/vis/downloads/vis-td-tdap.pdf" TargetMode="External"/><Relationship Id="rId4" Type="http://schemas.openxmlformats.org/officeDocument/2006/relationships/hyperlink" Target="http://legislature.idaho.gov/idstat/Title39/T39CH48SECT39-4801.htm" TargetMode="External"/><Relationship Id="rId9" Type="http://schemas.openxmlformats.org/officeDocument/2006/relationships/hyperlink" Target="http://www.cdc.gov/vaccines/pubs/vis/downloads/vis-varicella.pdf" TargetMode="External"/><Relationship Id="rId14" Type="http://schemas.openxmlformats.org/officeDocument/2006/relationships/hyperlink" Target="http://www.cdc.gov/vaccines/pubs/vis/downloads/vis-hep-b.pdf" TargetMode="External"/><Relationship Id="rId22" Type="http://schemas.openxmlformats.org/officeDocument/2006/relationships/hyperlink" Target="http://www.cdc.gov/vaccines/spec-grps/par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564</Words>
  <Characters>3216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(Last Modified 8/13/2013)</dc:title>
  <dc:subject/>
  <dc:creator>Heidi</dc:creator>
  <cp:keywords/>
  <dc:description/>
  <cp:lastModifiedBy>Lisa Caulfield</cp:lastModifiedBy>
  <cp:revision>2</cp:revision>
  <dcterms:created xsi:type="dcterms:W3CDTF">2013-10-08T19:21:00Z</dcterms:created>
  <dcterms:modified xsi:type="dcterms:W3CDTF">2013-10-08T19:21:00Z</dcterms:modified>
</cp:coreProperties>
</file>